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TableS1. Baseline characteristics of participants.</w:t>
      </w:r>
    </w:p>
    <w:tbl>
      <w:tblPr>
        <w:tblStyle w:val="2"/>
        <w:tblW w:w="15516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9"/>
        <w:gridCol w:w="1569"/>
        <w:gridCol w:w="1569"/>
        <w:gridCol w:w="1163"/>
        <w:gridCol w:w="1707"/>
        <w:gridCol w:w="1614"/>
        <w:gridCol w:w="1139"/>
        <w:gridCol w:w="1614"/>
        <w:gridCol w:w="1614"/>
        <w:gridCol w:w="10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464" w:type="dxa"/>
            <w:vMerge w:val="restart"/>
            <w:tcBorders>
              <w:top w:val="single" w:color="000000" w:sz="4" w:space="0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Variable</w:t>
            </w:r>
          </w:p>
        </w:tc>
        <w:tc>
          <w:tcPr>
            <w:tcW w:w="4323" w:type="dxa"/>
            <w:gridSpan w:val="3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  <w:t>The Chinese cross-sectional population</w:t>
            </w:r>
          </w:p>
        </w:tc>
        <w:tc>
          <w:tcPr>
            <w:tcW w:w="4483" w:type="dxa"/>
            <w:gridSpan w:val="3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  <w:t>The international cross-sectional population</w:t>
            </w:r>
          </w:p>
        </w:tc>
        <w:tc>
          <w:tcPr>
            <w:tcW w:w="424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  <w:t>The Chinese cohort population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464" w:type="dxa"/>
            <w:vMerge w:val="continue"/>
            <w:tcBorders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Non-NAFLD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NAFLD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 for trend</w:t>
            </w:r>
            <w:r>
              <w:rPr>
                <w:rFonts w:hint="default" w:ascii="Arial" w:hAnsi="Arial" w:cs="Arial"/>
                <w:b/>
                <w:bCs/>
                <w:sz w:val="16"/>
                <w:szCs w:val="16"/>
                <w:vertAlign w:val="superscript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Non-NAFLD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NAFLD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 for trend</w:t>
            </w:r>
            <w:r>
              <w:rPr>
                <w:rFonts w:hint="default" w:ascii="Arial" w:hAnsi="Arial" w:cs="Arial"/>
                <w:b/>
                <w:bCs/>
                <w:sz w:val="16"/>
                <w:szCs w:val="16"/>
                <w:vertAlign w:val="superscript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non-NAFLD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NAFLD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 for trend</w:t>
            </w:r>
            <w:r>
              <w:rPr>
                <w:rFonts w:hint="default" w:ascii="Arial" w:hAnsi="Arial" w:cs="Arial"/>
                <w:b/>
                <w:bCs/>
                <w:sz w:val="16"/>
                <w:szCs w:val="16"/>
                <w:vertAlign w:val="superscript"/>
                <w:lang w:val="en-US" w:eastAsia="zh-CN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20495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AGE(years)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46.5±13.2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49.4±12.0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54.8±7.7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55.1±7.3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45.3±11.6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47.9±11.2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Male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97964(47.80%)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6279(71.13%)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2095/4759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44.02%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957/1572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60.88%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1626/5247(30.99%)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1786/2772(64.43%)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Body mass index (kg/m2)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22.61±2.76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26.33±2.93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25.84±3.88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29.46±4.48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22.07±2.42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24.49±2.54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Waist circumference (cm)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83.08±8.07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90.01±6.99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85.54±11.85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96.68±12.06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82.05±7.85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88.21±8.46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Current smoker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234711.45%)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1273(14.42%)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153/4759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3.21%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74/1572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4.71%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0.006*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922/5247(17.57%)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1039/2772(37.48%)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Diabetes mellitus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1694(8.27%)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1876(21.25%)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126/4759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2.65%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212/1572(13.49%)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267/5247(5.09%)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232/2772(8.37%)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Hypertension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3104(15.15%)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2482(28.12%)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1333/4759(28.01%)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739/1572(47.01%)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462/5247(8.81%)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311/2772(11.22%)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Fasting Blood Concentration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Triglycerides (mmol/L)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1.26±0.88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2.26±2.03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1.50±0.84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2.17±1.21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1.14±0.63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1.63±1.09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Total cholesterol (mmol/L)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5.04±0.98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5.32±1.05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4.63±0.89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4.51±0.92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4.95±0.92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5.12±0.91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LDL cholesterol (mmol/L)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3.29±0.89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3.60±0.92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1.72±0.42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1.74±0.44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2.85±0.80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2.99±0.82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HDL cholesterol (mmol/L)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1.50±0.32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1.27±0.27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1.36±0.32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1.18±0.26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1.58±0.31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1.40±0.27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Uric acid (μmol/L)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345.26±97.10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417.81±102.83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290.78±74.12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343.73±75.77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331.46±88.82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382.49±89.38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Alaninetr ansaminase(U/L)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18.85±15.90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31.03±21.73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20.97±11.79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30.20±16.47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16.87±10.27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20.47±12.50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Aspartate transaminase(U/L)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20.13±10.12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23.67±11.57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25.02±9.50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28.39±10.10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18.78±7.55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19.37±7.27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Glutamyl Transferase(U/L)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25.81±32.66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43.61±41.99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30.47±30.41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43.63±37.67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21.94±16.87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27.92±18.83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Hemoglobin(g/L)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166.57±82.05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173.39±82.02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14.03±1.22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14.61±1.21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138.08±15.45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144.10±15.24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Platelet(*10^9/L)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251.93±60.16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257.83±59.85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250.28±57.39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251.46±58.83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250.59±58.67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257.85±59.03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Lymphocyte count(*10^9/L)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2.13±0.63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2.37±0.65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1.91±1.89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2.03±0.70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2.17±0.58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2.37±0.65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Monocyte count(*10^9/L)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0.45±0.16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0.50±0.17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0.45±0.20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0.51±0.28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0.45±0.16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0.49±0.17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Neutrophil count(*10^9/L)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3.45±2.85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3.81±1.26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3.95±1.28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4.30±1.42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3.37±1.14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3.68±1.16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MHR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0.336±2.726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0.412±0.242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0.344±0.191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0.442±0.210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0.297±0.133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0.368±0.160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MLR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0.220±0.089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0.218±0.084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0.256±0.123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0.275±0.424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NLR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1.719±0.761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1.698±0.669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2.267±0.960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2.292±1.253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PLR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126.885±44.824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115.640±38.248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144.526±51.841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134.459±53.706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436.488±236.735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440.326±215.558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570.204±288.609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577.623±337.509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Survival time(months)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50.08±13.30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30.52±16.91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</w:tbl>
    <w:p>
      <w:pPr>
        <w:rPr>
          <w:rFonts w:hint="default" w:ascii="Arial" w:hAnsi="Arial" w:cs="Arial"/>
          <w:sz w:val="16"/>
          <w:szCs w:val="16"/>
          <w:highlight w:val="none"/>
          <w:lang w:val="en-US" w:eastAsia="zh-CN"/>
        </w:rPr>
      </w:pPr>
      <w:r>
        <w:rPr>
          <w:rFonts w:hint="default" w:ascii="Arial" w:hAnsi="Arial" w:cs="Arial"/>
          <w:sz w:val="16"/>
          <w:szCs w:val="16"/>
        </w:rPr>
        <w:t xml:space="preserve">Data are presented as means±SD or as n (%); </w:t>
      </w:r>
      <w:r>
        <w:rPr>
          <w:rFonts w:hint="default" w:ascii="Arial" w:hAnsi="Arial" w:cs="Arial"/>
          <w:sz w:val="16"/>
          <w:szCs w:val="16"/>
          <w:vertAlign w:val="superscript"/>
          <w:lang w:val="en-US" w:eastAsia="zh-CN"/>
        </w:rPr>
        <w:t xml:space="preserve">a </w:t>
      </w:r>
      <w:r>
        <w:rPr>
          <w:rFonts w:hint="default" w:ascii="Arial" w:hAnsi="Arial" w:cs="Arial"/>
          <w:sz w:val="16"/>
          <w:szCs w:val="16"/>
          <w:lang w:val="en-US" w:eastAsia="zh-CN"/>
        </w:rPr>
        <w:t>For continuous variables using Spearman's correlation or Cochran–Armitage trend test for binary variabl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>es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 xml:space="preserve">; </w:t>
      </w:r>
      <w:r>
        <w:rPr>
          <w:rFonts w:hint="default" w:ascii="Arial" w:hAnsi="Arial" w:eastAsia="宋体" w:cs="Arial"/>
          <w:i w:val="0"/>
          <w:iCs w:val="0"/>
          <w:color w:val="000000"/>
          <w:kern w:val="0"/>
          <w:sz w:val="16"/>
          <w:szCs w:val="16"/>
          <w:u w:val="none"/>
          <w:vertAlign w:val="superscript"/>
          <w:lang w:val="en-US" w:eastAsia="zh-CN" w:bidi="ar"/>
        </w:rPr>
        <w:t>*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 xml:space="preserve">P &lt; 0.05, </w:t>
      </w:r>
      <w:r>
        <w:rPr>
          <w:rFonts w:hint="default" w:ascii="Arial" w:hAnsi="Arial" w:eastAsia="宋体" w:cs="Arial"/>
          <w:i w:val="0"/>
          <w:iCs w:val="0"/>
          <w:color w:val="000000"/>
          <w:kern w:val="0"/>
          <w:sz w:val="16"/>
          <w:szCs w:val="16"/>
          <w:u w:val="none"/>
          <w:vertAlign w:val="superscript"/>
          <w:lang w:val="en-US" w:eastAsia="zh-CN" w:bidi="ar"/>
        </w:rPr>
        <w:t>**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>P &lt; 0.001.</w:t>
      </w:r>
    </w:p>
    <w:p>
      <w:pPr>
        <w:rPr>
          <w:rFonts w:hint="default" w:ascii="Arial" w:hAnsi="Arial" w:cs="Arial" w:eastAsiaTheme="minorEastAsia"/>
          <w:sz w:val="16"/>
          <w:szCs w:val="16"/>
          <w:lang w:val="en-US" w:eastAsia="zh-CN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  <w:r>
        <w:rPr>
          <w:rFonts w:hint="default" w:ascii="Arial" w:hAnsi="Arial" w:cs="Arial"/>
          <w:sz w:val="16"/>
          <w:szCs w:val="16"/>
        </w:rPr>
        <w:t>MHR: Monocytes/high-density lipoprotein</w:t>
      </w:r>
      <w:r>
        <w:rPr>
          <w:rFonts w:hint="default" w:ascii="Arial" w:hAnsi="Arial" w:cs="Arial"/>
          <w:sz w:val="16"/>
          <w:szCs w:val="16"/>
          <w:lang w:val="en-US" w:eastAsia="zh-CN"/>
        </w:rPr>
        <w:t xml:space="preserve">; </w:t>
      </w:r>
      <w:r>
        <w:rPr>
          <w:rFonts w:hint="default" w:ascii="Arial" w:hAnsi="Arial" w:cs="Arial"/>
          <w:sz w:val="16"/>
          <w:szCs w:val="16"/>
        </w:rPr>
        <w:t>MLR: Monocytes/lymphocytes</w:t>
      </w:r>
      <w:r>
        <w:rPr>
          <w:rFonts w:hint="default" w:ascii="Arial" w:hAnsi="Arial" w:cs="Arial"/>
          <w:sz w:val="16"/>
          <w:szCs w:val="16"/>
          <w:lang w:val="en-US" w:eastAsia="zh-CN"/>
        </w:rPr>
        <w:t xml:space="preserve">; </w:t>
      </w:r>
      <w:r>
        <w:rPr>
          <w:rFonts w:hint="default" w:ascii="Arial" w:hAnsi="Arial" w:cs="Arial"/>
          <w:sz w:val="16"/>
          <w:szCs w:val="16"/>
        </w:rPr>
        <w:t>NLR: Neutrophils/lymphocytes</w:t>
      </w:r>
      <w:r>
        <w:rPr>
          <w:rFonts w:hint="default" w:ascii="Arial" w:hAnsi="Arial" w:cs="Arial"/>
          <w:sz w:val="16"/>
          <w:szCs w:val="16"/>
          <w:lang w:val="en-US" w:eastAsia="zh-CN"/>
        </w:rPr>
        <w:t xml:space="preserve">; </w:t>
      </w:r>
      <w:r>
        <w:rPr>
          <w:rFonts w:hint="default" w:ascii="Arial" w:hAnsi="Arial" w:cs="Arial"/>
          <w:sz w:val="16"/>
          <w:szCs w:val="16"/>
        </w:rPr>
        <w:t>PLR: Platelets/lymphocytes</w:t>
      </w:r>
      <w:r>
        <w:rPr>
          <w:rFonts w:hint="default" w:ascii="Arial" w:hAnsi="Arial" w:cs="Arial"/>
          <w:sz w:val="16"/>
          <w:szCs w:val="16"/>
          <w:lang w:val="en-US" w:eastAsia="zh-CN"/>
        </w:rPr>
        <w:t xml:space="preserve">; SII: </w:t>
      </w:r>
      <w:r>
        <w:rPr>
          <w:rFonts w:hint="default" w:ascii="Arial" w:hAnsi="Arial" w:cs="Arial"/>
          <w:sz w:val="16"/>
          <w:szCs w:val="16"/>
        </w:rPr>
        <w:t>Platelets</w:t>
      </w:r>
      <w:r>
        <w:rPr>
          <w:rFonts w:hint="default" w:ascii="Arial" w:hAnsi="Arial" w:cs="Arial"/>
          <w:sz w:val="16"/>
          <w:szCs w:val="16"/>
          <w:lang w:val="en-US" w:eastAsia="zh-CN"/>
        </w:rPr>
        <w:t>*n</w:t>
      </w:r>
      <w:r>
        <w:rPr>
          <w:rFonts w:hint="default" w:ascii="Arial" w:hAnsi="Arial" w:cs="Arial"/>
          <w:sz w:val="16"/>
          <w:szCs w:val="16"/>
        </w:rPr>
        <w:t>eutrophils</w:t>
      </w:r>
      <w:r>
        <w:rPr>
          <w:rFonts w:hint="default" w:ascii="Arial" w:hAnsi="Arial" w:cs="Arial"/>
          <w:sz w:val="16"/>
          <w:szCs w:val="16"/>
          <w:lang w:val="en-US" w:eastAsia="zh-CN"/>
        </w:rPr>
        <w:t>/l</w:t>
      </w:r>
      <w:r>
        <w:rPr>
          <w:rFonts w:hint="default" w:ascii="Arial" w:hAnsi="Arial" w:cs="Arial"/>
          <w:sz w:val="16"/>
          <w:szCs w:val="16"/>
        </w:rPr>
        <w:t>ymphocytes</w:t>
      </w:r>
      <w:r>
        <w:rPr>
          <w:rFonts w:hint="default" w:ascii="Arial" w:hAnsi="Arial" w:cs="Arial"/>
          <w:sz w:val="16"/>
          <w:szCs w:val="16"/>
          <w:lang w:val="en-US" w:eastAsia="zh-CN"/>
        </w:rPr>
        <w:t>.</w:t>
      </w: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Table S2. Selection of trajectory groups and model-fit statistics from the whole study population.</w:t>
      </w:r>
    </w:p>
    <w:tbl>
      <w:tblPr>
        <w:tblStyle w:val="2"/>
        <w:tblW w:w="1092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1820"/>
        <w:gridCol w:w="1820"/>
        <w:gridCol w:w="1820"/>
        <w:gridCol w:w="1820"/>
        <w:gridCol w:w="18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182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Number of trajectories</w:t>
            </w:r>
          </w:p>
        </w:tc>
        <w:tc>
          <w:tcPr>
            <w:tcW w:w="182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Parameters of trajectory shape a</w:t>
            </w:r>
          </w:p>
        </w:tc>
        <w:tc>
          <w:tcPr>
            <w:tcW w:w="182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Estimated group membership (%)</w:t>
            </w:r>
          </w:p>
        </w:tc>
        <w:tc>
          <w:tcPr>
            <w:tcW w:w="182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AvePP</w:t>
            </w:r>
          </w:p>
        </w:tc>
        <w:tc>
          <w:tcPr>
            <w:tcW w:w="182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BIC</w:t>
            </w:r>
          </w:p>
        </w:tc>
        <w:tc>
          <w:tcPr>
            <w:tcW w:w="182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AIC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9.82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0.96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40377.37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40419.67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67.13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0.92 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23.05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0.95 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0.93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41507.37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41563.77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26.23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0.86 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62.35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0.90 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7.93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0.87 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1.96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0.94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42051.84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42122.34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0.87 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55.33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0.85 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26.25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0.82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2.19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0.89 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9.63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0.92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40506.3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40552.13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67.13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0.91 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23.24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0.85 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</w:tbl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 xml:space="preserve">a Presented as linear = 1, quadratic = 2, cubic = 3; AvPP &gt; 0.7 = good classification accuracy; </w:t>
      </w:r>
      <w:r>
        <w:rPr>
          <w:rFonts w:hint="default" w:ascii="Arial" w:hAnsi="Arial" w:cs="Arial"/>
          <w:sz w:val="16"/>
          <w:szCs w:val="16"/>
          <w:lang w:val="en-US" w:eastAsia="zh-CN"/>
        </w:rPr>
        <w:t>lower</w:t>
      </w:r>
      <w:r>
        <w:rPr>
          <w:rFonts w:hint="default" w:ascii="Arial" w:hAnsi="Arial" w:cs="Arial"/>
          <w:sz w:val="16"/>
          <w:szCs w:val="16"/>
          <w:lang w:val="en-US" w:eastAsia="zh-CN"/>
        </w:rPr>
        <w:t xml:space="preserve"> values of BIC and AIC indicate better fit;</w:t>
      </w: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Av</w:t>
      </w:r>
      <w:r>
        <w:rPr>
          <w:rFonts w:hint="default" w:ascii="Arial" w:hAnsi="Arial" w:cs="Arial"/>
          <w:sz w:val="16"/>
          <w:szCs w:val="16"/>
          <w:lang w:val="en-US" w:eastAsia="zh-CN"/>
        </w:rPr>
        <w:t>e</w:t>
      </w:r>
      <w:r>
        <w:rPr>
          <w:rFonts w:hint="default" w:ascii="Arial" w:hAnsi="Arial" w:cs="Arial"/>
          <w:sz w:val="16"/>
          <w:szCs w:val="16"/>
          <w:lang w:val="en-US" w:eastAsia="zh-CN"/>
        </w:rPr>
        <w:t>PP: average posterior probability; BIC: Bayesian information criterion; AIC: Akaike information criterion</w:t>
      </w:r>
      <w:r>
        <w:rPr>
          <w:rFonts w:hint="default" w:ascii="Arial" w:hAnsi="Arial" w:cs="Arial"/>
          <w:sz w:val="16"/>
          <w:szCs w:val="16"/>
          <w:lang w:val="en-US" w:eastAsia="zh-CN"/>
        </w:rPr>
        <w:t>.</w:t>
      </w: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Table S3. Multiplicative interaction between MHR baseline and overweight/obsesity on incident NAFLD.</w:t>
      </w:r>
    </w:p>
    <w:tbl>
      <w:tblPr>
        <w:tblStyle w:val="2"/>
        <w:tblW w:w="970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1544"/>
        <w:gridCol w:w="790"/>
        <w:gridCol w:w="1544"/>
        <w:gridCol w:w="790"/>
        <w:gridCol w:w="1544"/>
        <w:gridCol w:w="7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36" w:type="dxa"/>
            <w:vMerge w:val="restart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Variable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Model1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Model2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HR(95%CI)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HR(95%CI)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HR(95%CI)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3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Total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Moderate-level MHR baseline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1.82(1.52-2.18)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1.73(1.45-2.08)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1.39(1.14-1.71)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High-level MHR baseline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2.73(2.30-3.24)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2.34(1.96-2.78)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1.40(1.14-1.73)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5.10(4.21-6.18)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4.62(3.81-5.60)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2.68(2.13-3.36)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Moderate-level MHR baseline*Overweight/obsesity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0.69(0.54-0.89)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0.69(0.54-0.89)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0.74(0.56-0.97)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0.028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7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High-level MHR baseline*Overweight/obsesity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0.58(0.46-0.74)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0.60(0.47-0.75)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0.67(0.52-0.87)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3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Male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Moderate-level MHR baseline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1.75(1.30-2.35)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1.75(1.30-2.35)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1.60(1.15-2.22)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High-level MHR baseline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2.43(1.85-3.19)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2.43(1.85-3.19)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1.64(1.19-2.26)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4.08(2.95-5.64)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4.06(2.94-5.62)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2.62(1.81-3.81)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Moderate-level MHR baseline*Overweight/obsesity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0.71(0.48-1.05)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0.085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0.71(0.48-1.05)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0.087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0.69(0.45-1.06)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7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High-level MHR baseline*Overweight/obsesity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0.66(0.47-0.95)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0.025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0.67(0.47-0.95)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0.025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0.70(0.47-1.03)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73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Female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Moderate-level MHR baseline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1.66(1.32-2.10)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1.73(1.37-2.18)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1.20(0.92-1.57)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0.169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High-level MHR baseline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2.05(1.59-2.65)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2.18(1.69-2.82)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1.11(0.81-1.53)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5.45(4.29-6.92)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4.83(3.80-6.14)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2.53(1.87-3.43)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Moderate-level MHR baseline*Overweight/obsesity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0.71(0.51-1.00)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0.049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0.71(0.51-1.00)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0.049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0.84(0.58-1.21)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7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High-level MHR baseline*Overweight/obsesity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0.56(0.39-0.80)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0.56(0.39-0.80)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0.73(0.49-1.08)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0.113</w:t>
            </w:r>
          </w:p>
        </w:tc>
      </w:tr>
    </w:tbl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Model 2: adjusted for baseline age, gender or age; Model 3: further adjusted for baseline cigarette-smoking, hypertension diagnosis,diabetes diagnosis,waist circumference, concentrations of triglycerides, total cholesterol, low-density lipoprotein cholesterol, high-density lipoprotein cholesterol, serum uric acid alaninetr, ansaminase, alaninetr ansaminase, glutamyl transferase,hemoglobin, platelet.</w:t>
      </w: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ref: reference</w:t>
      </w:r>
      <w:r>
        <w:rPr>
          <w:rFonts w:hint="default" w:ascii="Arial" w:hAnsi="Arial" w:cs="Arial"/>
          <w:sz w:val="16"/>
          <w:szCs w:val="16"/>
          <w:lang w:val="en-US" w:eastAsia="zh-CN"/>
        </w:rPr>
        <w:t xml:space="preserve">, </w:t>
      </w:r>
      <w:r>
        <w:rPr>
          <w:rFonts w:hint="default" w:ascii="Arial" w:hAnsi="Arial" w:eastAsia="宋体" w:cs="Arial"/>
          <w:i w:val="0"/>
          <w:iCs w:val="0"/>
          <w:color w:val="000000"/>
          <w:kern w:val="0"/>
          <w:sz w:val="16"/>
          <w:szCs w:val="16"/>
          <w:u w:val="none"/>
          <w:vertAlign w:val="superscript"/>
          <w:lang w:val="en-US" w:eastAsia="zh-CN" w:bidi="ar"/>
        </w:rPr>
        <w:t>*</w:t>
      </w:r>
      <w:r>
        <w:rPr>
          <w:rFonts w:hint="default" w:ascii="Arial" w:hAnsi="Arial" w:cs="Arial"/>
          <w:sz w:val="16"/>
          <w:szCs w:val="16"/>
          <w:lang w:val="en-US" w:eastAsia="zh-CN"/>
        </w:rPr>
        <w:t xml:space="preserve">P &lt; 0.05, </w:t>
      </w:r>
      <w:r>
        <w:rPr>
          <w:rFonts w:hint="default" w:ascii="Arial" w:hAnsi="Arial" w:eastAsia="宋体" w:cs="Arial"/>
          <w:i w:val="0"/>
          <w:iCs w:val="0"/>
          <w:color w:val="000000"/>
          <w:kern w:val="0"/>
          <w:sz w:val="16"/>
          <w:szCs w:val="16"/>
          <w:u w:val="none"/>
          <w:vertAlign w:val="superscript"/>
          <w:lang w:val="en-US" w:eastAsia="zh-CN" w:bidi="ar"/>
        </w:rPr>
        <w:t>**</w:t>
      </w:r>
      <w:r>
        <w:rPr>
          <w:rFonts w:hint="default" w:ascii="Arial" w:hAnsi="Arial" w:cs="Arial"/>
          <w:sz w:val="16"/>
          <w:szCs w:val="16"/>
          <w:lang w:val="en-US" w:eastAsia="zh-CN"/>
        </w:rPr>
        <w:t>P &lt; 0.001.</w:t>
      </w: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Table S4. Additive interaction between MHR baseline and overweight/obsesity on incident NAFLD.</w:t>
      </w:r>
    </w:p>
    <w:tbl>
      <w:tblPr>
        <w:tblStyle w:val="2"/>
        <w:tblW w:w="10584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1684"/>
        <w:gridCol w:w="602"/>
        <w:gridCol w:w="1066"/>
        <w:gridCol w:w="1375"/>
        <w:gridCol w:w="757"/>
        <w:gridCol w:w="1375"/>
        <w:gridCol w:w="680"/>
        <w:gridCol w:w="1375"/>
        <w:gridCol w:w="6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89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Trajectory of MHR variation</w:t>
            </w:r>
          </w:p>
        </w:tc>
        <w:tc>
          <w:tcPr>
            <w:tcW w:w="1684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BMI</w:t>
            </w:r>
          </w:p>
        </w:tc>
        <w:tc>
          <w:tcPr>
            <w:tcW w:w="602" w:type="dxa"/>
            <w:vMerge w:val="restart"/>
            <w:tcBorders>
              <w:top w:val="single" w:color="000000" w:sz="4" w:space="0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Total n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E2E2E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E2E2E"/>
                <w:kern w:val="0"/>
                <w:sz w:val="16"/>
                <w:szCs w:val="16"/>
                <w:u w:val="none"/>
                <w:lang w:val="en-US" w:eastAsia="zh-CN" w:bidi="ar"/>
              </w:rPr>
              <w:t>Cases n (%)</w:t>
            </w:r>
          </w:p>
        </w:tc>
        <w:tc>
          <w:tcPr>
            <w:tcW w:w="21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Model1</w:t>
            </w:r>
          </w:p>
        </w:tc>
        <w:tc>
          <w:tcPr>
            <w:tcW w:w="20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Model2</w:t>
            </w:r>
          </w:p>
        </w:tc>
        <w:tc>
          <w:tcPr>
            <w:tcW w:w="205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89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vMerge w:val="continue"/>
            <w:tcBorders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6" w:type="dxa"/>
            <w:vMerge w:val="continue"/>
            <w:tcBorders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HR(95%CI)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HR(95%CI)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HR(95%CI)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Total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Low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2485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204(8.21%)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1(ref)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1(ref)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1(ref)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1866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280(15.01%)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1.82(1.52-2.18)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1.73(1.45-2.08)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1.39(1.14-1.71)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362(21.89%)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2.73(2.30-3.24)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2.34(1.96-2.78)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1.40(1.14-1.73)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Low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215(35.66%)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5.10(4.21-6.18)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4.62(3.81-5.60)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2.68(2.13-3.36)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322(42.93%)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6.42(5.39-7.66)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5.52(4.62-6.60)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2.76(2.21-3.43)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1166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601(51.54%)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8.14(6.94-9.54)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6.43(5.45-7.58)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2.53(2.02-3.16)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8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Male</w:t>
            </w:r>
          </w:p>
        </w:tc>
        <w:tc>
          <w:tcPr>
            <w:tcW w:w="168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Low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65(10.60%)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1(ref)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1(ref)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1(ref)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136(18.78%)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1.75(1.30-2.35)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1.75(1.30-2.35)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1.56(1.12-2.17)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1005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261(25.97%)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2.43(1.85-3.19)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2.43(1.85-3.19)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1.63(1.18-2.24)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Low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84(36.36%)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4.08(2.95-5.64)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4.06(2.94-5.62)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1.35(0.91-2.00)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0.134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189(44.58%)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5.06(3.82-6.71)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5.05(3.81-6.70)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1.56(1.10-2.23)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0.014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869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479(55.12%)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6.60(5.09-8.55)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6.57(5.07-8.52)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1.53(1.08-2.19)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0.018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8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Female</w:t>
            </w:r>
          </w:p>
        </w:tc>
        <w:tc>
          <w:tcPr>
            <w:tcW w:w="168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Low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1872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139(7.43%)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1(ref)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1(ref)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1(ref)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1142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114(9.98%)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1.66(1.32-2.10)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1.73(1.37-2.18)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1.17(0.90-1.52)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101(15.56%)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2.05(1.59-2.65)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2.18(1.69-2.82)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1.04(0.76-1.43)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Low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131(35.22%)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5.45(4.29-6.92)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4.83(3.80-6.14)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1.46(1.06-2.01)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0.021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133(40.80%)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6.48(5.11-8.22)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5.96(4.70-7.57)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1.36(0.97-1.92)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8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297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122(41.08%)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6.24(4.89-7.95)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5.92(4.64-7.56)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1.05(0.73-1.52)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0.798</w:t>
            </w:r>
          </w:p>
        </w:tc>
      </w:tr>
    </w:tbl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Model 2: adjusted for baseline age, gender or age; Model 3: further adjusted for baseline cigarette-smoking, hypertension diagnosis,diabetes diagnosis,waist circumference, concentrations of triglycerides, total cholesterol, low-density lipoprotein cholesterol, high-density lipoprotein cholesterol, serum uric acid alaninetr, ansaminase, alaninetr ansaminase, glutamyl transferase,hemoglobin, platelet.</w:t>
      </w: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ref: reference</w:t>
      </w:r>
      <w:r>
        <w:rPr>
          <w:rFonts w:hint="default" w:ascii="Arial" w:hAnsi="Arial" w:cs="Arial"/>
          <w:sz w:val="16"/>
          <w:szCs w:val="16"/>
          <w:lang w:val="en-US" w:eastAsia="zh-CN"/>
        </w:rPr>
        <w:t>;</w:t>
      </w:r>
      <w:r>
        <w:rPr>
          <w:rFonts w:hint="default" w:ascii="Arial" w:hAnsi="Arial" w:eastAsia="宋体" w:cs="Arial"/>
          <w:i w:val="0"/>
          <w:iCs w:val="0"/>
          <w:color w:val="000000"/>
          <w:kern w:val="0"/>
          <w:sz w:val="16"/>
          <w:szCs w:val="16"/>
          <w:u w:val="none"/>
          <w:vertAlign w:val="superscript"/>
          <w:lang w:val="en-US" w:eastAsia="zh-CN" w:bidi="ar"/>
        </w:rPr>
        <w:t>*</w:t>
      </w:r>
      <w:r>
        <w:rPr>
          <w:rFonts w:hint="default" w:ascii="Arial" w:hAnsi="Arial" w:cs="Arial"/>
          <w:sz w:val="16"/>
          <w:szCs w:val="16"/>
          <w:lang w:val="en-US" w:eastAsia="zh-CN"/>
        </w:rPr>
        <w:t xml:space="preserve">P &lt; 0.05, </w:t>
      </w:r>
      <w:r>
        <w:rPr>
          <w:rFonts w:hint="default" w:ascii="Arial" w:hAnsi="Arial" w:eastAsia="宋体" w:cs="Arial"/>
          <w:i w:val="0"/>
          <w:iCs w:val="0"/>
          <w:color w:val="000000"/>
          <w:kern w:val="0"/>
          <w:sz w:val="16"/>
          <w:szCs w:val="16"/>
          <w:u w:val="none"/>
          <w:vertAlign w:val="superscript"/>
          <w:lang w:val="en-US" w:eastAsia="zh-CN" w:bidi="ar"/>
        </w:rPr>
        <w:t>**</w:t>
      </w:r>
      <w:r>
        <w:rPr>
          <w:rFonts w:hint="default" w:ascii="Arial" w:hAnsi="Arial" w:cs="Arial"/>
          <w:sz w:val="16"/>
          <w:szCs w:val="16"/>
          <w:lang w:val="en-US" w:eastAsia="zh-CN"/>
        </w:rPr>
        <w:t>P &lt; 0.001.</w:t>
      </w: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Table S5. Evaluation indicators of additive interaction.</w:t>
      </w:r>
    </w:p>
    <w:tbl>
      <w:tblPr>
        <w:tblStyle w:val="2"/>
        <w:tblW w:w="1039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  <w:gridCol w:w="2526"/>
        <w:gridCol w:w="2340"/>
        <w:gridCol w:w="26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03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Model1</w:t>
            </w:r>
          </w:p>
        </w:tc>
        <w:tc>
          <w:tcPr>
            <w:tcW w:w="234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Model2</w:t>
            </w:r>
          </w:p>
        </w:tc>
        <w:tc>
          <w:tcPr>
            <w:tcW w:w="261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RERI(95%CI)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2.34(0.55-4.14)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2.03(0.43-3.62)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-0.01(-0.62-0.61)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AP(95%CI)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0.72(0.64-0.79)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0.68(0.60-0.77)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-0.01(-0.40-0.39)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SI(95%CI)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-29.05(NaN-NaN)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-33.73(NaN-NaN)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0.98(0.33-2.91)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Male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RERI(95%CI)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1.84(-0.01-3.7)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1.85(-0.01-3.72)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-0.04(-0.7-0.62)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AP(95%CI)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0.67(0.57-0.77)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0.67(0.57-0.77)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-0.02(-0.51-0.46)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SI(95%CI)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-17.70(NaN-NaN)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-18.79(NaN-NaN)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0.92(0.17-5.02)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Female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RERI(95%CI)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2.62(-0.71-5.95)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1.91(-0.54-4.37)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0.01(-1.22-1.24)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AP(95%CI)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0.71(0.56-0.85)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0.68(0.53-0.82)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0.01(-0.69-0.70)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SI(95%CI)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34.85(0.01-152782.20)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-22.39(NaN-NaN)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1.01(0.20-5.07)</w:t>
            </w:r>
          </w:p>
        </w:tc>
      </w:tr>
    </w:tbl>
    <w:p>
      <w:pPr>
        <w:rPr>
          <w:rFonts w:hint="default" w:ascii="Arial" w:hAnsi="Arial" w:cs="Arial"/>
          <w:sz w:val="16"/>
          <w:szCs w:val="16"/>
          <w:highlight w:val="none"/>
          <w:lang w:val="en-US" w:eastAsia="zh-CN"/>
        </w:rPr>
      </w:pP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>Model 2: adjusted for baseline age, gender or age; Model 3: further adjusted for baseline cigarette-smoking, hypertension diagnosis,diabetes diagnosis,waist circumference, concentrations of triglycerides, total cholesterol, low-density lipoprotein cholesterol, high-density lipoprotein cholesterol, serum uric acid alaninetr, ansaminase, alaninetr ansaminase, glutamyl transferase,hemoglobin, platelet.</w:t>
      </w:r>
    </w:p>
    <w:p>
      <w:pPr>
        <w:rPr>
          <w:rFonts w:hint="default" w:ascii="Arial" w:hAnsi="Arial" w:cs="Arial"/>
          <w:sz w:val="16"/>
          <w:szCs w:val="16"/>
          <w:highlight w:val="none"/>
          <w:lang w:val="en-US" w:eastAsia="zh-CN"/>
        </w:rPr>
      </w:pP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 xml:space="preserve">The 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 xml:space="preserve">95% 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 xml:space="preserve">confidence interval of RERI and AP contains 0, and the 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 xml:space="preserve">95% 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 xml:space="preserve">confidence interval of S contains 1, which 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>i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>s considered that no interaction has occurred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>.</w:t>
      </w: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Table S6. Multiplicative interaction between trajectory of MHR variants and overweight/obsesity on incident NAFLD</w:t>
      </w:r>
    </w:p>
    <w:tbl>
      <w:tblPr>
        <w:tblStyle w:val="2"/>
        <w:tblW w:w="9882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6"/>
        <w:gridCol w:w="1566"/>
        <w:gridCol w:w="846"/>
        <w:gridCol w:w="1566"/>
        <w:gridCol w:w="846"/>
        <w:gridCol w:w="1566"/>
        <w:gridCol w:w="8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6" w:type="dxa"/>
            <w:vMerge w:val="restart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Variable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Model1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Model2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HR(95%CI)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HR(95%CI)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HR(95%CI)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Trajectories of moderate-level MHR variations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0.80(0.64-1.01)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0.057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0.85(0.68-1.07)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0.166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1.11(0.86-1.44)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Trajectories of high-level MHR variations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1.12(0.87-1.44)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1.09(0.85-1.41)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1.43(1.08-1.89)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0.014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3.64(2.78-4.77)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3.20(2.44-4.19)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1.80(1.32-2.45)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Trajectories of moderate-level MHR variations*Overweight/obsesity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1.11(0.83-1.48)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1.09(0.82-1.46)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1.16(0.85-1.60)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0.348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91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Trajectories of high-level MHR variations*Overweight/obsesity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1.05(0.76-1.46)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0.747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1.07(0.77-1.47)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0.700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1.07(0.75-1.52)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0.721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Male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Trajectories of moderate-level MHR variations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0.91(0.68-1.23)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0.91(0.68-1.23)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1.2(0.86-1.67)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Trajectories of high-level MHR variations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0.99(0.71-1.37)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0.99(0.71-1.38)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1.25(0.87-1.80)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3.04(2.18-4.25)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3.04(2.17-4.25)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1.81(1.24-2.65)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Trajectories of moderate-level MHR variations*Overweight/obsesity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1.00(0.70-1.45)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1.00(0.69-1.44)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1.04(0.70-1.55)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91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Trajectories of high-level MHR variations*Overweight/obsesity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1.08(0.72-1.62)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1.07(0.72-1.61)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1.11(0.71-1.72)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Female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Trajectories of moderate-level MHR variations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0.81(0.57-1.16)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0.76(0.53-1.09)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0.140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1.06(0.70-1.60)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Trajectories of high-level MHR variations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1.26(0.85-1.88)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1.15(0.77-1.72)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1.66(1.06-2.61)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0.028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3.59(2.23-5.78)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3.21(2.00-5.17)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1.80(1.04-3.11)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0.035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vertAlign w:val="superscript"/>
                <w:lang w:val="en-US" w:eastAsia="zh-CN" w:bidi="ar"/>
              </w:rPr>
              <w:t>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Trajectories of moderate-level MHR variations*Overweight/obsesity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1.22(0.73-2.01)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1.22(0.74-2.03)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1.27(0.73-2.21)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91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Trajectories of high-level MHR variations*Overweight/obsesity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1.20(0.69-2.11)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1.21(0.69-2.12)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1.10(0.59-2.03)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0.768</w:t>
            </w:r>
          </w:p>
        </w:tc>
      </w:tr>
    </w:tbl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Model 2: adjusted for baseline age, gender or age; Model 3: further adjusted for baseline cigarette-smoking, hypertension diagnosis,diabetes diagnosis,waist circumference, concentrations of triglycerides, total cholesterol, low-density lipoprotein cholesterol, high-density lipoprotein cholesterol, serum uric acid alaninetr, ansaminase, alaninetr ansaminase, glutamyl transferase,hemoglobin, platelet.</w:t>
      </w: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ref: reference</w:t>
      </w:r>
      <w:r>
        <w:rPr>
          <w:rFonts w:hint="default" w:ascii="Arial" w:hAnsi="Arial" w:cs="Arial"/>
          <w:sz w:val="16"/>
          <w:szCs w:val="16"/>
          <w:lang w:val="en-US" w:eastAsia="zh-CN"/>
        </w:rPr>
        <w:t>;</w:t>
      </w:r>
      <w:r>
        <w:rPr>
          <w:rFonts w:hint="default" w:ascii="Arial" w:hAnsi="Arial" w:eastAsia="宋体" w:cs="Arial"/>
          <w:i w:val="0"/>
          <w:iCs w:val="0"/>
          <w:color w:val="000000"/>
          <w:kern w:val="0"/>
          <w:sz w:val="16"/>
          <w:szCs w:val="16"/>
          <w:u w:val="none"/>
          <w:vertAlign w:val="superscript"/>
          <w:lang w:val="en-US" w:eastAsia="zh-CN" w:bidi="ar"/>
        </w:rPr>
        <w:t>*</w:t>
      </w:r>
      <w:r>
        <w:rPr>
          <w:rFonts w:hint="default" w:ascii="Arial" w:hAnsi="Arial" w:cs="Arial"/>
          <w:sz w:val="16"/>
          <w:szCs w:val="16"/>
          <w:lang w:val="en-US" w:eastAsia="zh-CN"/>
        </w:rPr>
        <w:t xml:space="preserve">P &lt; 0.05, </w:t>
      </w:r>
      <w:r>
        <w:rPr>
          <w:rFonts w:hint="default" w:ascii="Arial" w:hAnsi="Arial" w:eastAsia="宋体" w:cs="Arial"/>
          <w:i w:val="0"/>
          <w:iCs w:val="0"/>
          <w:color w:val="000000"/>
          <w:kern w:val="0"/>
          <w:sz w:val="16"/>
          <w:szCs w:val="16"/>
          <w:u w:val="none"/>
          <w:vertAlign w:val="superscript"/>
          <w:lang w:val="en-US" w:eastAsia="zh-CN" w:bidi="ar"/>
        </w:rPr>
        <w:t>**</w:t>
      </w:r>
      <w:r>
        <w:rPr>
          <w:rFonts w:hint="default" w:ascii="Arial" w:hAnsi="Arial" w:cs="Arial"/>
          <w:sz w:val="16"/>
          <w:szCs w:val="16"/>
          <w:lang w:val="en-US" w:eastAsia="zh-CN"/>
        </w:rPr>
        <w:t>P &lt; 0.001.</w:t>
      </w: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Table S7. Additive interaction between trajectory of MHR variants and overweight/obsesity on incident NAFLD.</w:t>
      </w:r>
    </w:p>
    <w:tbl>
      <w:tblPr>
        <w:tblStyle w:val="2"/>
        <w:tblW w:w="10584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777"/>
        <w:gridCol w:w="626"/>
        <w:gridCol w:w="670"/>
        <w:gridCol w:w="1447"/>
        <w:gridCol w:w="712"/>
        <w:gridCol w:w="1447"/>
        <w:gridCol w:w="712"/>
        <w:gridCol w:w="1447"/>
        <w:gridCol w:w="7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41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Trajectory of MHR variation</w:t>
            </w:r>
          </w:p>
        </w:tc>
        <w:tc>
          <w:tcPr>
            <w:tcW w:w="1784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BMI</w:t>
            </w:r>
          </w:p>
        </w:tc>
        <w:tc>
          <w:tcPr>
            <w:tcW w:w="629" w:type="dxa"/>
            <w:vMerge w:val="restart"/>
            <w:tcBorders>
              <w:top w:val="single" w:color="000000" w:sz="4" w:space="0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Total n</w:t>
            </w:r>
          </w:p>
        </w:tc>
        <w:tc>
          <w:tcPr>
            <w:tcW w:w="629" w:type="dxa"/>
            <w:vMerge w:val="restart"/>
            <w:tcBorders>
              <w:top w:val="single" w:color="000000" w:sz="4" w:space="0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E2E2E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E2E2E"/>
                <w:kern w:val="0"/>
                <w:sz w:val="16"/>
                <w:szCs w:val="16"/>
                <w:u w:val="none"/>
                <w:lang w:val="en-US" w:eastAsia="zh-CN" w:bidi="ar"/>
              </w:rPr>
              <w:t>Cases n (%)</w:t>
            </w:r>
          </w:p>
        </w:tc>
        <w:tc>
          <w:tcPr>
            <w:tcW w:w="21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Model1</w:t>
            </w:r>
          </w:p>
        </w:tc>
        <w:tc>
          <w:tcPr>
            <w:tcW w:w="21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Model2</w:t>
            </w:r>
          </w:p>
        </w:tc>
        <w:tc>
          <w:tcPr>
            <w:tcW w:w="21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8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vMerge w:val="continue"/>
            <w:tcBorders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vMerge w:val="continue"/>
            <w:tcBorders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HR(95%CI)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HR(95%CI)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HR(95%CI)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Low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4251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556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0.80(0.64-1.01)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0.057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0.85(0.68-1.07)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0.166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1.11(0.86-1.44)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1253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205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1.12(0.87-1.44)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0.377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1.09(0.85-1.41)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0.501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1.43(1.08-1.89)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0.014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Low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139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3.64(2.78-4.77)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3.20(2.44-4.19)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1.80(1.32-2.45)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1673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3.22(2.57-4.03)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2.97(2.37-3.73)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2.34(1.80-3.04)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556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288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4.30(3.38-5.48)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3.72(2.92-4.74)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2.74(2.07-3.63)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Male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Low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1484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290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0.91(0.68-1.23)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0.545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0.91(0.68-1.23)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0.556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1.2(0.86-1.67)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0.99(0.71-1.37)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0.948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0.99(0.71-1.38)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0.962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1.26(0.87-1.81)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Low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3.04(2.18-4.25)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3.04(2.17-4.25)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0.94(0.63-1.41)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943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449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2.79(2.09-3.73)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2.78(2.08-3.72)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1.18(0.83-1.68)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198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3.25(2.39-4.42)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3.24(2.38-4.41)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1.33(0.92-1.92)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Female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Low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2767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266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0.81(0.57-1.16)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0.255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0.76(0.53-1.09)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0.14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1.08(0.71-1.63)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Non-obesity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1.26(0.85-1.88)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0.248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1.15(0.77-1.72)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0.481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1.67(1.06-2.62)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Low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3.59(2.23-5.78)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3.21(2.00-5.17)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0.98(0.55-1.73)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Moderate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262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3.55(2.48-5.07)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3(2.10-4.30)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1.38(0.88-2.16)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0.161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High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Overweight/obsesity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176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5.47(3.69-8.12)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4.49(3.02-6.68)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1.85(1.14-3.01)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0.013</w:t>
            </w:r>
          </w:p>
        </w:tc>
      </w:tr>
    </w:tbl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Model 2: adjusted for baseline age, gender or age; Model 3: further adjusted for baseline cigarette-smoking, hypertension diagnosis,diabetes diagnosis,waist circumference, concentrations of triglycerides, total cholesterol, low-density lipoprotein cholesterol, high-density lipoprotein cholesterol, serum uric acid alaninetr, ansaminase, alaninetr ansaminase, glutamyl transferase,hemoglobin, platelet.</w:t>
      </w: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ref: reference</w:t>
      </w:r>
      <w:r>
        <w:rPr>
          <w:rFonts w:hint="default" w:ascii="Arial" w:hAnsi="Arial" w:cs="Arial"/>
          <w:sz w:val="16"/>
          <w:szCs w:val="16"/>
          <w:lang w:val="en-US" w:eastAsia="zh-CN"/>
        </w:rPr>
        <w:t xml:space="preserve">, </w:t>
      </w:r>
      <w:r>
        <w:rPr>
          <w:rFonts w:hint="default" w:ascii="Arial" w:hAnsi="Arial" w:eastAsia="宋体" w:cs="Arial"/>
          <w:i w:val="0"/>
          <w:iCs w:val="0"/>
          <w:color w:val="000000"/>
          <w:kern w:val="0"/>
          <w:sz w:val="16"/>
          <w:szCs w:val="16"/>
          <w:u w:val="none"/>
          <w:vertAlign w:val="superscript"/>
          <w:lang w:val="en-US" w:eastAsia="zh-CN" w:bidi="ar"/>
        </w:rPr>
        <w:t>*</w:t>
      </w:r>
      <w:r>
        <w:rPr>
          <w:rFonts w:hint="default" w:ascii="Arial" w:hAnsi="Arial" w:cs="Arial"/>
          <w:sz w:val="16"/>
          <w:szCs w:val="16"/>
          <w:lang w:val="en-US" w:eastAsia="zh-CN"/>
        </w:rPr>
        <w:t xml:space="preserve">P &lt; 0.05, </w:t>
      </w:r>
      <w:r>
        <w:rPr>
          <w:rFonts w:hint="default" w:ascii="Arial" w:hAnsi="Arial" w:eastAsia="宋体" w:cs="Arial"/>
          <w:i w:val="0"/>
          <w:iCs w:val="0"/>
          <w:color w:val="000000"/>
          <w:kern w:val="0"/>
          <w:sz w:val="16"/>
          <w:szCs w:val="16"/>
          <w:u w:val="none"/>
          <w:vertAlign w:val="superscript"/>
          <w:lang w:val="en-US" w:eastAsia="zh-CN" w:bidi="ar"/>
        </w:rPr>
        <w:t>**</w:t>
      </w:r>
      <w:r>
        <w:rPr>
          <w:rFonts w:hint="default" w:ascii="Arial" w:hAnsi="Arial" w:cs="Arial"/>
          <w:sz w:val="16"/>
          <w:szCs w:val="16"/>
          <w:lang w:val="en-US" w:eastAsia="zh-CN"/>
        </w:rPr>
        <w:t>P &lt; 0.001.</w:t>
      </w: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  <w:r>
        <w:rPr>
          <w:rFonts w:hint="default" w:ascii="Arial" w:hAnsi="Arial" w:cs="Arial"/>
          <w:sz w:val="16"/>
          <w:szCs w:val="16"/>
          <w:lang w:val="en-US" w:eastAsia="zh-CN"/>
        </w:rPr>
        <w:t>Table S8.</w:t>
      </w:r>
      <w:r>
        <w:rPr>
          <w:rFonts w:hint="default" w:ascii="Arial" w:hAnsi="Arial" w:cs="Arial"/>
          <w:sz w:val="16"/>
          <w:szCs w:val="16"/>
          <w:lang w:val="en-US" w:eastAsia="zh-CN"/>
        </w:rPr>
        <w:t>Evaluation indicators of additive interaction</w:t>
      </w:r>
      <w:r>
        <w:rPr>
          <w:rFonts w:hint="default" w:ascii="Arial" w:hAnsi="Arial" w:cs="Arial"/>
          <w:sz w:val="16"/>
          <w:szCs w:val="16"/>
          <w:lang w:val="en-US" w:eastAsia="zh-CN"/>
        </w:rPr>
        <w:t>.</w:t>
      </w:r>
    </w:p>
    <w:tbl>
      <w:tblPr>
        <w:tblStyle w:val="2"/>
        <w:tblW w:w="917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7"/>
        <w:gridCol w:w="2290"/>
        <w:gridCol w:w="2160"/>
        <w:gridCol w:w="20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68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29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Model1</w:t>
            </w:r>
          </w:p>
        </w:tc>
        <w:tc>
          <w:tcPr>
            <w:tcW w:w="21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Model2</w:t>
            </w: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Model3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Total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RERI(95%CI)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21.86(10.84-32.87)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15.63(7.55-23.70)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0.82(-0.10-1.74)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AP(95%CI)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0.86(0.82-0.90)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0.84(0.79-0.88)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0.33(0.13-0.53)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68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SI(95%CI)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9.56(7.56-12.07)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8.56(6.87-10.66)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2.24(1.57-3.19)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68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Male</w:t>
            </w:r>
          </w:p>
        </w:tc>
        <w:tc>
          <w:tcPr>
            <w:tcW w:w="229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RERI(95%CI)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14.19(1.55-26.84)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14.11(1.53-26.69)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1.24(-0.98-3.46)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AP(95%CI)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0.82(0.73-0.90)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0.82(0.73-0.90)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0.36(0.03-0.69)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68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SI(95%CI)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7.5(5.1-11.02)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7.47(5.08-10.98)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2.04(1.14-3.66)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68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Female</w:t>
            </w:r>
          </w:p>
        </w:tc>
        <w:tc>
          <w:tcPr>
            <w:tcW w:w="229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RERI(95%CI)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15.87(5.72-26.02)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15.3(5.41-25.20)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0.57(-0.23-1.37)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AP(95%CI)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0.85(0.81-0.90)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0.84(0.79-0.89)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0.32(0.08-0.55)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68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SI(95%CI)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10.27(8.01-13.16)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9.01(6.92-11.73)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3.66(1.03-13.03)</w:t>
            </w:r>
          </w:p>
        </w:tc>
      </w:tr>
    </w:tbl>
    <w:p>
      <w:pPr>
        <w:rPr>
          <w:rFonts w:hint="default" w:ascii="Arial" w:hAnsi="Arial" w:cs="Arial"/>
          <w:sz w:val="16"/>
          <w:szCs w:val="16"/>
          <w:highlight w:val="none"/>
          <w:lang w:val="en-US" w:eastAsia="zh-CN"/>
        </w:rPr>
      </w:pP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>Model 2: adjusted for baseline age, gender or age; Model 3: further adjusted for baseline cigarette-smoking, hypertension diagnosis,diabetes diagnosis,waist circumference, concentrations of triglycerides, total cholesterol, low-density lipoprotein cholesterol, high-density lipoprotein cholesterol, serum uric acid alaninetr, ansaminase, alaninetr ansaminase, glutamyl transferase,hemoglobin, platelet.</w:t>
      </w:r>
    </w:p>
    <w:p>
      <w:pPr>
        <w:rPr>
          <w:rFonts w:hint="default" w:ascii="Arial" w:hAnsi="Arial" w:cs="Arial"/>
          <w:sz w:val="16"/>
          <w:szCs w:val="16"/>
          <w:highlight w:val="none"/>
          <w:lang w:val="en-US" w:eastAsia="zh-CN"/>
        </w:rPr>
      </w:pP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 xml:space="preserve">The 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 xml:space="preserve">95% 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 xml:space="preserve">confidence interval of RERI and AP contains 0, and the 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 xml:space="preserve">95% 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 xml:space="preserve">confidence interval of S contains 1, which 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>i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>s considered that no interaction has occurred</w:t>
      </w:r>
      <w:r>
        <w:rPr>
          <w:rFonts w:hint="default" w:ascii="Arial" w:hAnsi="Arial" w:cs="Arial"/>
          <w:sz w:val="16"/>
          <w:szCs w:val="16"/>
          <w:highlight w:val="none"/>
          <w:lang w:val="en-US" w:eastAsia="zh-CN"/>
        </w:rPr>
        <w:t>.</w:t>
      </w:r>
    </w:p>
    <w:p>
      <w:pPr>
        <w:rPr>
          <w:rFonts w:hint="default" w:ascii="Arial" w:hAnsi="Arial" w:cs="Arial"/>
          <w:sz w:val="16"/>
          <w:szCs w:val="16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2MGI1NjkzZmM5OTc2ZjI3ODczYzk4YjlmOTEzYTYifQ=="/>
  </w:docVars>
  <w:rsids>
    <w:rsidRoot w:val="0C976162"/>
    <w:rsid w:val="02C40969"/>
    <w:rsid w:val="0902626A"/>
    <w:rsid w:val="091B2AE3"/>
    <w:rsid w:val="097D22A1"/>
    <w:rsid w:val="0B0C4E07"/>
    <w:rsid w:val="0C2A2409"/>
    <w:rsid w:val="0C976162"/>
    <w:rsid w:val="0D124941"/>
    <w:rsid w:val="0D833C80"/>
    <w:rsid w:val="116456EE"/>
    <w:rsid w:val="11B147AE"/>
    <w:rsid w:val="126F08F1"/>
    <w:rsid w:val="17834B87"/>
    <w:rsid w:val="18D30918"/>
    <w:rsid w:val="1C4D750E"/>
    <w:rsid w:val="25E116AE"/>
    <w:rsid w:val="296C0A53"/>
    <w:rsid w:val="2F146AF3"/>
    <w:rsid w:val="34082CF5"/>
    <w:rsid w:val="3E9F78E0"/>
    <w:rsid w:val="3FF257A0"/>
    <w:rsid w:val="41970CA5"/>
    <w:rsid w:val="48BB0B36"/>
    <w:rsid w:val="4B7079F0"/>
    <w:rsid w:val="506C2693"/>
    <w:rsid w:val="547058E0"/>
    <w:rsid w:val="5AFC731D"/>
    <w:rsid w:val="5C01757F"/>
    <w:rsid w:val="5DBA0EE2"/>
    <w:rsid w:val="5DCB1039"/>
    <w:rsid w:val="62417593"/>
    <w:rsid w:val="67203742"/>
    <w:rsid w:val="6CED32E3"/>
    <w:rsid w:val="6D9E339B"/>
    <w:rsid w:val="6E63623A"/>
    <w:rsid w:val="71A907C9"/>
    <w:rsid w:val="727D5888"/>
    <w:rsid w:val="78D6184E"/>
    <w:rsid w:val="79060C28"/>
    <w:rsid w:val="7E627DC8"/>
    <w:rsid w:val="7F65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1651</Words>
  <Characters>14258</Characters>
  <Lines>0</Lines>
  <Paragraphs>0</Paragraphs>
  <TotalTime>1</TotalTime>
  <ScaleCrop>false</ScaleCrop>
  <LinksUpToDate>false</LinksUpToDate>
  <CharactersWithSpaces>14917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2023-09-16T01:46:00Z</dcterms:created>
  <dc:creator>张文婧</dc:creator>
  <cp:lastModifiedBy>张文婧</cp:lastModifiedBy>
  <dcterms:modified xsi:type="dcterms:W3CDTF">2023-09-20T06:33:43Z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7662D4C5030D42EEBCB3C28A80240C76_11</vt:lpwstr>
  </property>
</Properties>
</file>